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32" w:rsidRPr="006B0032" w:rsidRDefault="006B0032" w:rsidP="006B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032">
        <w:rPr>
          <w:rFonts w:ascii="Times New Roman" w:hAnsi="Times New Roman" w:cs="Times New Roman"/>
          <w:b/>
          <w:sz w:val="24"/>
          <w:szCs w:val="24"/>
        </w:rPr>
        <w:t>Влияние мобильных телефонов на здоровье детей.</w:t>
      </w:r>
    </w:p>
    <w:p w:rsidR="00D211C1" w:rsidRPr="006B0032" w:rsidRDefault="00D211C1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>По современным данным, до 98 % детей и подростков России постоянно используют мобильные телефоны, электромагнитное излучение (ЭМИ) которых признано ВОЗ потенциальным канцерогеном. В силу возрастных физиологических особенностей (меньший размер головы, более тонкие кости черепа, высокая гидратация тканей, функциональная незрелость) дети младшего школьного возраста составляют группу повышенного риска неблагоприятного влияния Э</w:t>
      </w:r>
      <w:r w:rsidR="00B10169">
        <w:rPr>
          <w:rFonts w:ascii="Times New Roman" w:hAnsi="Times New Roman" w:cs="Times New Roman"/>
          <w:sz w:val="20"/>
          <w:szCs w:val="20"/>
        </w:rPr>
        <w:t>МИ</w:t>
      </w:r>
      <w:r w:rsidRPr="006B0032">
        <w:rPr>
          <w:rFonts w:ascii="Times New Roman" w:hAnsi="Times New Roman" w:cs="Times New Roman"/>
          <w:sz w:val="20"/>
          <w:szCs w:val="20"/>
        </w:rPr>
        <w:t xml:space="preserve"> мобильных телефонов на здоровье.</w:t>
      </w:r>
    </w:p>
    <w:p w:rsidR="00D211C1" w:rsidRPr="006B0032" w:rsidRDefault="006B0032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В </w:t>
      </w:r>
      <w:r w:rsidR="00B10169">
        <w:rPr>
          <w:rFonts w:ascii="Times New Roman" w:hAnsi="Times New Roman" w:cs="Times New Roman"/>
          <w:sz w:val="20"/>
          <w:szCs w:val="20"/>
        </w:rPr>
        <w:t>научных</w:t>
      </w:r>
      <w:r w:rsidRPr="006B0032">
        <w:rPr>
          <w:rFonts w:ascii="Times New Roman" w:hAnsi="Times New Roman" w:cs="Times New Roman"/>
          <w:sz w:val="20"/>
          <w:szCs w:val="20"/>
        </w:rPr>
        <w:t xml:space="preserve"> исследованиях детей выявлено, что при увеличении частоты и длительности использования мобильных телефонов у них возрастает количество жалоб на головные боли, нарушение сна, утомляемость, </w:t>
      </w:r>
      <w:r w:rsidR="00B10169">
        <w:rPr>
          <w:rFonts w:ascii="Times New Roman" w:hAnsi="Times New Roman" w:cs="Times New Roman"/>
          <w:sz w:val="20"/>
          <w:szCs w:val="20"/>
        </w:rPr>
        <w:t xml:space="preserve">повышение возбудимости центральной нервной системы, </w:t>
      </w:r>
      <w:r w:rsidRPr="006B0032">
        <w:rPr>
          <w:rFonts w:ascii="Times New Roman" w:hAnsi="Times New Roman" w:cs="Times New Roman"/>
          <w:sz w:val="20"/>
          <w:szCs w:val="20"/>
        </w:rPr>
        <w:t>нарушение когнитивных и психомоторных функций. Обнаружено также влияние использования мобильных телефонов на частоту простудных заболеваний у младших школьников.</w:t>
      </w:r>
    </w:p>
    <w:p w:rsidR="006B0032" w:rsidRDefault="006B0032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Нормы интенсивности излучения и временные параметры безопасного использования мобильных телефонов в детском возрасте практически не разработаны. </w:t>
      </w:r>
    </w:p>
    <w:p w:rsidR="006B0032" w:rsidRDefault="006B0032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проведении исследований по определению временных параметров использования мобильной связи и их влияния на показатели здоровья детей 6-10 лет, а также при оценке уровня излучения аппаратов мобильной связи, используемых современными младшими школьниками установлено: </w:t>
      </w:r>
    </w:p>
    <w:p w:rsidR="006B0032" w:rsidRDefault="0031019D" w:rsidP="003700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превышении ежедневного количества разговоров более 2-6, а их общего времени более 5-10 минут приводит к риску перехода детей в разряд часто болеющих.</w:t>
      </w:r>
    </w:p>
    <w:p w:rsidR="0031019D" w:rsidRDefault="0031019D" w:rsidP="003700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D64672">
        <w:rPr>
          <w:rFonts w:ascii="Times New Roman" w:hAnsi="Times New Roman" w:cs="Times New Roman"/>
          <w:sz w:val="20"/>
          <w:szCs w:val="20"/>
        </w:rPr>
        <w:t>У 35-45 % обследованных детей 6-10 лет параметры пользования превышают выявленные критические значения (более 2-6 звонков в день с общей длительностью 5-10 минут), что указывает на повышенный риск их заболеваемости простудными заболеваниями.</w:t>
      </w:r>
    </w:p>
    <w:p w:rsidR="00D64672" w:rsidRDefault="00D64672" w:rsidP="003700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В настоящее время до 35 % младших школьников используют мобильные телефоны, максимальная плотность потока энергии излучения которых превышает норматив для взрослого человека (100 </w:t>
      </w:r>
      <w:proofErr w:type="spellStart"/>
      <w:r>
        <w:rPr>
          <w:rFonts w:ascii="Times New Roman" w:hAnsi="Times New Roman" w:cs="Times New Roman"/>
          <w:sz w:val="20"/>
          <w:szCs w:val="20"/>
        </w:rPr>
        <w:t>мкВТ</w:t>
      </w:r>
      <w:proofErr w:type="spellEnd"/>
      <w:r>
        <w:rPr>
          <w:rFonts w:ascii="Times New Roman" w:hAnsi="Times New Roman" w:cs="Times New Roman"/>
          <w:sz w:val="20"/>
          <w:szCs w:val="20"/>
        </w:rPr>
        <w:t>/см2).</w:t>
      </w:r>
    </w:p>
    <w:p w:rsidR="00D64672" w:rsidRPr="005525E9" w:rsidRDefault="00D64672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5E9">
        <w:rPr>
          <w:rFonts w:ascii="Times New Roman" w:hAnsi="Times New Roman" w:cs="Times New Roman"/>
          <w:sz w:val="20"/>
          <w:szCs w:val="20"/>
        </w:rPr>
        <w:t>Полученные результаты свидетельствуют, что контроль над параметрами излучения мобильных телефонов и временем его воздействия на у младших школьников представляют потенциальную опасность для здоровья детей данного возраста.</w:t>
      </w:r>
    </w:p>
    <w:p w:rsidR="00D211C1" w:rsidRPr="005525E9" w:rsidRDefault="00D211C1" w:rsidP="003700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525E9">
        <w:rPr>
          <w:rFonts w:ascii="Times New Roman" w:hAnsi="Times New Roman" w:cs="Times New Roman"/>
          <w:b/>
          <w:sz w:val="20"/>
          <w:szCs w:val="20"/>
        </w:rPr>
        <w:t>Рекомендации по безопасному использованию мобильного телефона</w:t>
      </w:r>
      <w:r w:rsidR="005525E9" w:rsidRPr="005525E9">
        <w:rPr>
          <w:rFonts w:ascii="Times New Roman" w:hAnsi="Times New Roman" w:cs="Times New Roman"/>
          <w:b/>
          <w:sz w:val="20"/>
          <w:szCs w:val="20"/>
        </w:rPr>
        <w:t>.</w:t>
      </w:r>
    </w:p>
    <w:p w:rsidR="00D211C1" w:rsidRPr="006B0032" w:rsidRDefault="00D211C1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>Сейчас обсуждается вопрос, стоит ли вообще детям пользоваться мобильными телефонами. Существует предложение, чтобы дети, для своей же безопасности, не разговаривали долго, а их сеансы связи ограничивались бы максимум минутой.</w:t>
      </w:r>
    </w:p>
    <w:p w:rsidR="00D211C1" w:rsidRPr="006B0032" w:rsidRDefault="00D211C1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Основная рекомендация одна - категорически не использовать ручные сотовые телефоны за исключением случаев, когда использование сотового телефона может спасти жизнь ребенку. Минимальный возраст ограничения - 16 лет. Однако исходя из того, что активное формирование и развитие головного мозга продолжается еще несколько лет, то и после 16-ти целесообразно воздерживаться от использования сотового телефона как можно дольше. </w:t>
      </w:r>
    </w:p>
    <w:p w:rsidR="00D211C1" w:rsidRPr="006B0032" w:rsidRDefault="00D211C1" w:rsidP="0037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Поддерживая предупредительную стратегию Всемирной Организации Здравоохранения, рекомендовал распространить от имени Российского национального комитета по защите от неионизирующих излучений следующую информацию для населения об элементарных правилах безопасности и гигиены при обращении с сотовыми телефонами: </w:t>
      </w:r>
      <w:r w:rsidRPr="006B0032">
        <w:rPr>
          <w:rFonts w:ascii="Times New Roman" w:hAnsi="Times New Roman" w:cs="Times New Roman"/>
          <w:sz w:val="20"/>
          <w:szCs w:val="20"/>
        </w:rPr>
        <w:br/>
        <w:t xml:space="preserve">1. </w:t>
      </w:r>
      <w:r w:rsidR="00B10169" w:rsidRPr="006B0032">
        <w:rPr>
          <w:rFonts w:ascii="Times New Roman" w:hAnsi="Times New Roman" w:cs="Times New Roman"/>
          <w:sz w:val="20"/>
          <w:szCs w:val="20"/>
        </w:rPr>
        <w:t xml:space="preserve">Рекомендовать не использовать сотовые телефоны детям и подросткам до 16 лет; </w:t>
      </w:r>
    </w:p>
    <w:p w:rsidR="00D211C1" w:rsidRPr="006B0032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2. Избегать пользоваться сотовым телефоном без необходимости. </w:t>
      </w:r>
    </w:p>
    <w:p w:rsidR="00D211C1" w:rsidRPr="006B0032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3. </w:t>
      </w:r>
      <w:r w:rsidR="00B10169" w:rsidRPr="006B0032">
        <w:rPr>
          <w:rFonts w:ascii="Times New Roman" w:hAnsi="Times New Roman" w:cs="Times New Roman"/>
          <w:sz w:val="20"/>
          <w:szCs w:val="20"/>
        </w:rPr>
        <w:t>Исключить возможность использования детьми мобильного телефона.</w:t>
      </w:r>
    </w:p>
    <w:p w:rsidR="00D211C1" w:rsidRPr="006B0032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4. Рекомендовать не использовать сотовые телефоны беременным, начиная с момента установления факта беременности и в течение всего периода беременности; </w:t>
      </w:r>
    </w:p>
    <w:p w:rsidR="00D211C1" w:rsidRPr="006B0032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5. Рекомендовать не использовать сотовый телефон лицам, страдающим заболеваниями: неврологического характера, включая неврастению, психопатию, </w:t>
      </w:r>
      <w:proofErr w:type="spellStart"/>
      <w:r w:rsidRPr="006B0032">
        <w:rPr>
          <w:rFonts w:ascii="Times New Roman" w:hAnsi="Times New Roman" w:cs="Times New Roman"/>
          <w:sz w:val="20"/>
          <w:szCs w:val="20"/>
        </w:rPr>
        <w:t>психостению</w:t>
      </w:r>
      <w:proofErr w:type="spellEnd"/>
      <w:r w:rsidRPr="006B0032">
        <w:rPr>
          <w:rFonts w:ascii="Times New Roman" w:hAnsi="Times New Roman" w:cs="Times New Roman"/>
          <w:sz w:val="20"/>
          <w:szCs w:val="20"/>
        </w:rPr>
        <w:t xml:space="preserve">, неврозы клиника которых характеризуется астеническими, навязчивыми, истерическими расстройствами, а также снижением умственной и физической работоспособности, снижением памяти, расстройствами сна, эпилепсия и эпилептический синдром, эпилептическая предрасположенность; </w:t>
      </w:r>
    </w:p>
    <w:p w:rsidR="00D211C1" w:rsidRPr="006B0032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>6. При использовании сотового телефона принимать меры по ограничению воздействия электромагнитного поля, а именно ограничить продолжительность разговоров, максимально увеличивать период между двумя разговорами (минимально рекомендованный - 15 мин.), преимущественно использовать сотовые телефоны с гарнитурами и системами "свободные руки" ("</w:t>
      </w:r>
      <w:proofErr w:type="spellStart"/>
      <w:r w:rsidRPr="006B0032">
        <w:rPr>
          <w:rFonts w:ascii="Times New Roman" w:hAnsi="Times New Roman" w:cs="Times New Roman"/>
          <w:sz w:val="20"/>
          <w:szCs w:val="20"/>
        </w:rPr>
        <w:t>hands</w:t>
      </w:r>
      <w:proofErr w:type="spellEnd"/>
      <w:r w:rsidRPr="006B00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0032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Pr="006B0032">
        <w:rPr>
          <w:rFonts w:ascii="Times New Roman" w:hAnsi="Times New Roman" w:cs="Times New Roman"/>
          <w:sz w:val="20"/>
          <w:szCs w:val="20"/>
        </w:rPr>
        <w:t>").</w:t>
      </w:r>
    </w:p>
    <w:p w:rsidR="00D211C1" w:rsidRPr="006B0032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7. </w:t>
      </w:r>
      <w:r w:rsidR="005525E9" w:rsidRPr="006B0032">
        <w:rPr>
          <w:rFonts w:ascii="Times New Roman" w:hAnsi="Times New Roman" w:cs="Times New Roman"/>
          <w:sz w:val="20"/>
          <w:szCs w:val="20"/>
        </w:rPr>
        <w:t>Стараться</w:t>
      </w:r>
      <w:r w:rsidRPr="006B0032">
        <w:rPr>
          <w:rFonts w:ascii="Times New Roman" w:hAnsi="Times New Roman" w:cs="Times New Roman"/>
          <w:sz w:val="20"/>
          <w:szCs w:val="20"/>
        </w:rPr>
        <w:t xml:space="preserve"> разговаривать по сотовому менее 3-4 мин, чаще заменяйте разговор на послание SMS-сообщений. </w:t>
      </w:r>
    </w:p>
    <w:p w:rsidR="00D211C1" w:rsidRPr="005525E9" w:rsidRDefault="00D211C1" w:rsidP="003700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0032">
        <w:rPr>
          <w:rFonts w:ascii="Times New Roman" w:hAnsi="Times New Roman" w:cs="Times New Roman"/>
          <w:sz w:val="20"/>
          <w:szCs w:val="20"/>
        </w:rPr>
        <w:t xml:space="preserve">8. При покупке телефона выбирать модель с наименьшей мощностью излучения (в связи с этим предпочтительнее </w:t>
      </w:r>
      <w:r w:rsidRPr="005525E9">
        <w:rPr>
          <w:rFonts w:ascii="Times New Roman" w:hAnsi="Times New Roman" w:cs="Times New Roman"/>
          <w:sz w:val="20"/>
          <w:szCs w:val="20"/>
        </w:rPr>
        <w:t xml:space="preserve">стандарт связи GSM 1800, чуть хуже 900). </w:t>
      </w:r>
    </w:p>
    <w:p w:rsidR="00380556" w:rsidRDefault="00D211C1" w:rsidP="003700C9">
      <w:pPr>
        <w:jc w:val="both"/>
        <w:rPr>
          <w:rFonts w:ascii="Times New Roman" w:hAnsi="Times New Roman" w:cs="Times New Roman"/>
          <w:sz w:val="20"/>
          <w:szCs w:val="20"/>
        </w:rPr>
      </w:pPr>
      <w:r w:rsidRPr="005525E9">
        <w:rPr>
          <w:rFonts w:ascii="Times New Roman" w:hAnsi="Times New Roman" w:cs="Times New Roman"/>
          <w:sz w:val="20"/>
          <w:szCs w:val="20"/>
        </w:rPr>
        <w:t>9. Носить мобильник лучше в сумке, кармане верхней одежды или в руке.</w:t>
      </w:r>
    </w:p>
    <w:tbl>
      <w:tblPr>
        <w:tblStyle w:val="a4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982"/>
      </w:tblGrid>
      <w:tr w:rsidR="005525E9" w:rsidRPr="005525E9" w:rsidTr="005525E9">
        <w:tc>
          <w:tcPr>
            <w:tcW w:w="6941" w:type="dxa"/>
          </w:tcPr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Заведующий </w:t>
            </w:r>
            <w:proofErr w:type="spellStart"/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>ОЭУВиО</w:t>
            </w:r>
            <w:proofErr w:type="spellEnd"/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филиала Федерального 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>бюджетного учреждения здравоохранения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«Центр гигиены и эпидемиологии в Свердловской 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области </w:t>
            </w:r>
            <w:r w:rsidRPr="005525E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 Чкаловском районе города Екатеринбурга, 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</w:rPr>
            </w:pPr>
            <w:r w:rsidRPr="005525E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городе </w:t>
            </w:r>
            <w:r w:rsidRPr="005525E9">
              <w:rPr>
                <w:rFonts w:ascii="Times New Roman" w:hAnsi="Times New Roman"/>
                <w:sz w:val="20"/>
                <w:szCs w:val="20"/>
              </w:rPr>
              <w:t>Полевской и Сысертском районе»</w:t>
            </w: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</w:tcPr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 xml:space="preserve">                          Гиндуллина И.И</w:t>
            </w:r>
          </w:p>
        </w:tc>
      </w:tr>
      <w:tr w:rsidR="005525E9" w:rsidRPr="005525E9" w:rsidTr="005525E9">
        <w:tc>
          <w:tcPr>
            <w:tcW w:w="6941" w:type="dxa"/>
            <w:hideMark/>
          </w:tcPr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pacing w:val="-2"/>
                <w:sz w:val="20"/>
                <w:szCs w:val="20"/>
              </w:rPr>
              <w:t>Согласованно: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pacing w:val="-2"/>
                <w:sz w:val="20"/>
                <w:szCs w:val="20"/>
              </w:rPr>
              <w:t>Главный государственный санитарный врач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>в Чкаловском районе города Екатеринбурга,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>в городе Полевской и в Сысертском районе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>Начальник территориального отдела</w:t>
            </w:r>
          </w:p>
          <w:p w:rsidR="005525E9" w:rsidRPr="005525E9" w:rsidRDefault="005525E9" w:rsidP="0055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</w:rPr>
            </w:pPr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Управления </w:t>
            </w:r>
            <w:proofErr w:type="spellStart"/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>Роспотребнадзора</w:t>
            </w:r>
            <w:proofErr w:type="spellEnd"/>
            <w:r w:rsidRPr="005525E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2982" w:type="dxa"/>
          </w:tcPr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25E9" w:rsidRPr="005525E9" w:rsidRDefault="005525E9" w:rsidP="005525E9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jc w:val="both"/>
              <w:rPr>
                <w:rFonts w:ascii="Times New Roman" w:hAnsi="Times New Roman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5525E9">
              <w:rPr>
                <w:rFonts w:ascii="Times New Roman" w:hAnsi="Times New Roman"/>
                <w:sz w:val="20"/>
                <w:szCs w:val="20"/>
              </w:rPr>
              <w:t>Потапкина</w:t>
            </w:r>
            <w:proofErr w:type="spellEnd"/>
            <w:r w:rsidRPr="005525E9">
              <w:rPr>
                <w:rFonts w:ascii="Times New Roman" w:hAnsi="Times New Roman"/>
                <w:sz w:val="20"/>
                <w:szCs w:val="20"/>
              </w:rPr>
              <w:t xml:space="preserve"> Е.П</w:t>
            </w:r>
          </w:p>
        </w:tc>
      </w:tr>
    </w:tbl>
    <w:p w:rsidR="005525E9" w:rsidRPr="005525E9" w:rsidRDefault="005525E9" w:rsidP="005525E9">
      <w:pPr>
        <w:rPr>
          <w:rFonts w:ascii="Times New Roman" w:hAnsi="Times New Roman" w:cs="Times New Roman"/>
          <w:sz w:val="20"/>
          <w:szCs w:val="20"/>
        </w:rPr>
      </w:pPr>
    </w:p>
    <w:sectPr w:rsidR="005525E9" w:rsidRPr="005525E9" w:rsidSect="006B0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F3C32"/>
    <w:multiLevelType w:val="hybridMultilevel"/>
    <w:tmpl w:val="51580FDA"/>
    <w:lvl w:ilvl="0" w:tplc="98C2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3"/>
    <w:rsid w:val="002263B3"/>
    <w:rsid w:val="0031019D"/>
    <w:rsid w:val="003700C9"/>
    <w:rsid w:val="00380556"/>
    <w:rsid w:val="005525E9"/>
    <w:rsid w:val="006B0032"/>
    <w:rsid w:val="00B10169"/>
    <w:rsid w:val="00D211C1"/>
    <w:rsid w:val="00D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D5A8-1542-4824-B1FC-ED44242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32"/>
    <w:pPr>
      <w:ind w:left="720"/>
      <w:contextualSpacing/>
    </w:pPr>
  </w:style>
  <w:style w:type="table" w:styleId="a4">
    <w:name w:val="Table Grid"/>
    <w:basedOn w:val="a1"/>
    <w:rsid w:val="005525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Гиндуллина</dc:creator>
  <cp:keywords/>
  <dc:description/>
  <cp:lastModifiedBy>Ирина И. Гиндуллина</cp:lastModifiedBy>
  <cp:revision>7</cp:revision>
  <dcterms:created xsi:type="dcterms:W3CDTF">2017-10-20T09:49:00Z</dcterms:created>
  <dcterms:modified xsi:type="dcterms:W3CDTF">2017-10-25T06:25:00Z</dcterms:modified>
</cp:coreProperties>
</file>